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Limpeza de blocos de rochas ornamentais.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/>
          <w:sz w:val="20"/>
          <w:szCs w:val="20"/>
        </w:rPr>
        <w:t>Capacidade máxima de Rochas polidas (m²/mês)</w:t>
      </w:r>
      <w:r>
        <w:rPr>
          <w:rFonts w:cs="Arial" w:ascii="Arial" w:hAnsi="Arial"/>
          <w:sz w:val="20"/>
          <w:szCs w:val="20"/>
        </w:rPr>
        <w:t>......................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jc w:val="left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>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IV.7 </w:t>
      </w:r>
      <w:r>
        <w:rPr>
          <w:rFonts w:cs="Arial"/>
          <w:i/>
        </w:rPr>
        <w:t>Especificar o processo de limpeza:..............................................................................................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 xml:space="preserve">IV.9 </w:t>
      </w:r>
      <w:r>
        <w:rPr>
          <w:i/>
        </w:rPr>
        <w:t>Possui depósito para armazenamento de produtos perigosos?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59"/>
        <w:gridCol w:w="659"/>
        <w:gridCol w:w="944"/>
        <w:gridCol w:w="1357"/>
        <w:gridCol w:w="944"/>
        <w:gridCol w:w="1432"/>
        <w:gridCol w:w="896"/>
        <w:gridCol w:w="739"/>
        <w:gridCol w:w="1077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434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  <w:caps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 (rejeitos,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="Calibri" w:hAnsi="Calibri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eastAsia="Calibri" w:cs="Arial" w:eastAsiaTheme="minorHAnsi"/>
          <w:b/>
          <w:b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b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 w:eastAsiaTheme="minorHAnsi"/>
          <w:sz w:val="20"/>
          <w:szCs w:val="16"/>
          <w:lang w:eastAsia="en-US"/>
        </w:rPr>
      </w:pPr>
      <w:r>
        <w:rPr>
          <w:rFonts w:cs="Arial" w:ascii="Arial" w:hAnsi="Arial"/>
          <w:sz w:val="20"/>
          <w:szCs w:val="16"/>
        </w:rPr>
        <w:t xml:space="preserve">Data:     /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  <w:softHyphen/>
        <w:softHyphen/>
        <w:softHyphen/>
        <w:softHyphen/>
        <w:softHyphen/>
        <w:t xml:space="preserve">     Responsável técnico            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ATENÇÃO: Todas as páginas deste documento deverão ser assinadas.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5560695" cy="5103495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4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c805c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  <w:sz w:val="22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c805c2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c805c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LibreOffice/6.2.7.1$Windows_X86_64 LibreOffice_project/23edc44b61b830b7d749943e020e96f5a7df63bf</Application>
  <Pages>15</Pages>
  <Words>2502</Words>
  <Characters>27551</Characters>
  <CharactersWithSpaces>30785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dc:description/>
  <dc:language>pt-BR</dc:language>
  <cp:lastModifiedBy/>
  <dcterms:modified xsi:type="dcterms:W3CDTF">2021-04-14T14:35:46Z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